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 xmlns:w16du="http://schemas.microsoft.com/office/word/2023/wordml/word16du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5C57B945" w:rsidR="004D4723" w:rsidRPr="004E3550" w:rsidRDefault="00B15492" w:rsidP="005A4D7B">
            <w:pPr>
              <w:pStyle w:val="MHHSBody"/>
              <w:rPr>
                <w:rFonts w:cstheme="minorHAnsi"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Cs w:val="20"/>
              </w:rPr>
              <w:t xml:space="preserve">Validation of </w:t>
            </w:r>
            <w:r w:rsidR="004E3550">
              <w:rPr>
                <w:rFonts w:cstheme="minorHAnsi"/>
                <w:color w:val="808080" w:themeColor="background1" w:themeShade="80"/>
                <w:szCs w:val="20"/>
              </w:rPr>
              <w:t xml:space="preserve">Service Provider </w:t>
            </w:r>
            <w:r w:rsidR="00E7344A">
              <w:rPr>
                <w:rFonts w:cstheme="minorHAnsi"/>
                <w:color w:val="808080" w:themeColor="background1" w:themeShade="80"/>
                <w:szCs w:val="20"/>
              </w:rPr>
              <w:t xml:space="preserve">CoS </w:t>
            </w:r>
            <w:r>
              <w:rPr>
                <w:rFonts w:cstheme="minorHAnsi"/>
                <w:color w:val="808080" w:themeColor="background1" w:themeShade="80"/>
                <w:szCs w:val="20"/>
              </w:rPr>
              <w:t>Appointment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43F6ACF9" w:rsidR="004D4723" w:rsidRPr="00DF7C48" w:rsidRDefault="004E355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TBD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727A377F" w:rsidR="004D4723" w:rsidRPr="00DF7C48" w:rsidRDefault="004E355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Design Resolution Group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15A6ACEF" w:rsidR="004D4723" w:rsidRPr="00DF7C48" w:rsidRDefault="004E355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Neil Strange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271A136C" w:rsidR="00393377" w:rsidRPr="00DF7C48" w:rsidRDefault="00147920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02</w:t>
            </w:r>
            <w:r w:rsidR="004E3550">
              <w:rPr>
                <w:rFonts w:cstheme="minorHAnsi"/>
                <w:i/>
                <w:iCs/>
                <w:szCs w:val="20"/>
              </w:rPr>
              <w:t>/0</w:t>
            </w:r>
            <w:r>
              <w:rPr>
                <w:rFonts w:cstheme="minorHAnsi"/>
                <w:i/>
                <w:iCs/>
                <w:szCs w:val="20"/>
              </w:rPr>
              <w:t>7</w:t>
            </w:r>
            <w:r w:rsidR="004E3550">
              <w:rPr>
                <w:rFonts w:cstheme="minorHAnsi"/>
                <w:i/>
                <w:iCs/>
                <w:szCs w:val="20"/>
              </w:rPr>
              <w:t>/2024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9D5B37" w14:paraId="5860EBB2" w14:textId="77777777" w:rsidTr="0014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343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77777777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175FB2E6" w14:textId="7DB191B5" w:rsidR="004E3550" w:rsidRDefault="004E3550" w:rsidP="004E3550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Service Provider appointments messages require that a </w:t>
            </w:r>
            <w:r w:rsidRPr="004E3550">
              <w:rPr>
                <w:szCs w:val="16"/>
              </w:rPr>
              <w:t>Service Provider Appointment Scenario</w:t>
            </w:r>
            <w:r>
              <w:rPr>
                <w:szCs w:val="16"/>
              </w:rPr>
              <w:t xml:space="preserve"> is provided as part of the </w:t>
            </w:r>
            <w:r w:rsidRPr="004E3550">
              <w:rPr>
                <w:szCs w:val="16"/>
              </w:rPr>
              <w:t>Supplier Service Provider Appointment Request</w:t>
            </w:r>
            <w:r>
              <w:rPr>
                <w:szCs w:val="16"/>
              </w:rPr>
              <w:t xml:space="preserve"> and subsequent appointment messages </w:t>
            </w:r>
          </w:p>
          <w:p w14:paraId="0E276083" w14:textId="77777777" w:rsidR="004E3550" w:rsidRDefault="004E3550" w:rsidP="004E3550">
            <w:pPr>
              <w:pStyle w:val="MHHSBody"/>
              <w:spacing w:after="20" w:line="0" w:lineRule="atLeast"/>
              <w:rPr>
                <w:szCs w:val="16"/>
              </w:rPr>
            </w:pPr>
          </w:p>
          <w:p w14:paraId="1008CC6E" w14:textId="0C4E7936" w:rsidR="004E3550" w:rsidRDefault="003B5D81" w:rsidP="004E3550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Following discussions at </w:t>
            </w:r>
            <w:r w:rsidRPr="003B5D81">
              <w:rPr>
                <w:szCs w:val="16"/>
              </w:rPr>
              <w:t xml:space="preserve">FTIG </w:t>
            </w:r>
            <w:r>
              <w:rPr>
                <w:szCs w:val="16"/>
              </w:rPr>
              <w:t xml:space="preserve"> - </w:t>
            </w:r>
            <w:r w:rsidRPr="003B5D81">
              <w:rPr>
                <w:szCs w:val="16"/>
              </w:rPr>
              <w:t>agenda item - Obstacle D006</w:t>
            </w:r>
            <w:r>
              <w:rPr>
                <w:szCs w:val="16"/>
              </w:rPr>
              <w:t xml:space="preserve"> and DRG </w:t>
            </w:r>
            <w:r w:rsidR="00047638">
              <w:rPr>
                <w:szCs w:val="16"/>
              </w:rPr>
              <w:t>16 both on 31 May</w:t>
            </w:r>
            <w:r>
              <w:rPr>
                <w:szCs w:val="16"/>
              </w:rPr>
              <w:t>– CR045 SSD Correction Tool the design team have stated “</w:t>
            </w:r>
            <w:r w:rsidRPr="00967F17">
              <w:rPr>
                <w:szCs w:val="16"/>
              </w:rPr>
              <w:t>If you are the supplier either on or after SSD then it [the appointment scenario] will need to be CSP [ change of service provider]”</w:t>
            </w:r>
            <w:r w:rsidR="00345661">
              <w:rPr>
                <w:szCs w:val="16"/>
              </w:rPr>
              <w:t xml:space="preserve"> this position is based on</w:t>
            </w:r>
            <w:r w:rsidR="00047638">
              <w:rPr>
                <w:szCs w:val="16"/>
              </w:rPr>
              <w:t xml:space="preserve"> </w:t>
            </w:r>
            <w:hyperlink r:id="rId11" w:history="1">
              <w:r w:rsidR="00047638" w:rsidRPr="009D7335">
                <w:rPr>
                  <w:rStyle w:val="Hyperlink"/>
                  <w:szCs w:val="16"/>
                </w:rPr>
                <w:t>DIN-172</w:t>
              </w:r>
            </w:hyperlink>
            <w:r w:rsidR="00047638">
              <w:rPr>
                <w:szCs w:val="16"/>
              </w:rPr>
              <w:t xml:space="preserve"> </w:t>
            </w:r>
            <w:r w:rsidR="00525F9F">
              <w:rPr>
                <w:szCs w:val="16"/>
              </w:rPr>
              <w:t>:</w:t>
            </w:r>
            <w:r w:rsidR="00B1043F">
              <w:rPr>
                <w:szCs w:val="16"/>
              </w:rPr>
              <w:t xml:space="preserve"> - the description of this was “</w:t>
            </w:r>
            <w:r w:rsidR="00B1043F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 xml:space="preserve">Noticed IF-031 is missing validation to ensure on CoS scenario the Supplier is the pending supplier not the current supplier. The CoS scenario should only be used as part of a CoS process as validation may differ slightly from other scenario types. The current supplier should instead use CSP or SEG as is appropriate.” </w:t>
            </w:r>
            <w:r w:rsidR="00B1043F">
              <w:rPr>
                <w:szCs w:val="16"/>
              </w:rPr>
              <w:t>and</w:t>
            </w:r>
            <w:r w:rsidR="000D26C6">
              <w:rPr>
                <w:szCs w:val="16"/>
              </w:rPr>
              <w:t xml:space="preserve"> the proposed solution was “</w:t>
            </w:r>
            <w:r w:rsidR="000D26C6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 xml:space="preserve">Validation rules updated to better match App </w:t>
            </w:r>
            <w:r w:rsidR="00C25EFB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>Scenario</w:t>
            </w:r>
            <w:r w:rsidR="000D26C6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 xml:space="preserve"> with Supplier/SP. Requesting </w:t>
            </w:r>
            <w:r w:rsidR="00C25EFB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>flexibility</w:t>
            </w:r>
            <w:r w:rsidR="000D26C6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 xml:space="preserve"> on error messages”</w:t>
            </w:r>
          </w:p>
          <w:p w14:paraId="0178A1BF" w14:textId="77777777" w:rsidR="00525F9F" w:rsidRDefault="00525F9F" w:rsidP="004E3550">
            <w:pPr>
              <w:pStyle w:val="MHHSBody"/>
              <w:spacing w:after="20" w:line="0" w:lineRule="atLeast"/>
              <w:rPr>
                <w:szCs w:val="16"/>
              </w:rPr>
            </w:pPr>
          </w:p>
          <w:p w14:paraId="66CC8286" w14:textId="51BCEA71" w:rsidR="003B5D81" w:rsidRDefault="003B5D81" w:rsidP="004E3550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The Large Supplier Constituency does not agree with </w:t>
            </w:r>
            <w:r w:rsidR="00B1043F">
              <w:rPr>
                <w:szCs w:val="16"/>
              </w:rPr>
              <w:t xml:space="preserve">interpretation of </w:t>
            </w:r>
            <w:r>
              <w:rPr>
                <w:szCs w:val="16"/>
              </w:rPr>
              <w:t>the logic described above – we believe it will result in an increase in exceptions, problems in reporting</w:t>
            </w:r>
            <w:r w:rsidR="00967F17">
              <w:rPr>
                <w:szCs w:val="16"/>
              </w:rPr>
              <w:t>, impact to settlement</w:t>
            </w:r>
            <w:r>
              <w:rPr>
                <w:szCs w:val="16"/>
              </w:rPr>
              <w:t xml:space="preserve"> and customer detriment due to the cost of implementing flawed logic</w:t>
            </w:r>
            <w:r w:rsidR="00967F17">
              <w:rPr>
                <w:szCs w:val="16"/>
              </w:rPr>
              <w:t xml:space="preserve">.  The present design requires the appointment scenario to be changed if the appointment is processed </w:t>
            </w:r>
            <w:r w:rsidR="00053807">
              <w:rPr>
                <w:szCs w:val="16"/>
              </w:rPr>
              <w:t>l</w:t>
            </w:r>
            <w:r w:rsidR="00967F17">
              <w:rPr>
                <w:szCs w:val="16"/>
              </w:rPr>
              <w:t>ate.</w:t>
            </w:r>
            <w:r w:rsidR="0018471A">
              <w:rPr>
                <w:szCs w:val="16"/>
              </w:rPr>
              <w:t xml:space="preserve"> This </w:t>
            </w:r>
            <w:r w:rsidR="0018471A" w:rsidRPr="00147920">
              <w:rPr>
                <w:szCs w:val="16"/>
              </w:rPr>
              <w:t xml:space="preserve">will </w:t>
            </w:r>
            <w:r w:rsidR="00BC37B1" w:rsidRPr="00BC37B1">
              <w:rPr>
                <w:szCs w:val="16"/>
              </w:rPr>
              <w:t>caus</w:t>
            </w:r>
            <w:r w:rsidR="00BC37B1">
              <w:rPr>
                <w:szCs w:val="16"/>
              </w:rPr>
              <w:t xml:space="preserve">e </w:t>
            </w:r>
            <w:r w:rsidR="0018471A" w:rsidRPr="00147920">
              <w:rPr>
                <w:szCs w:val="16"/>
              </w:rPr>
              <w:t>rework for all parties. Such delays could be seen through system outages or through daily cut offs that could drive 'on time' appointments into late appointments.</w:t>
            </w:r>
          </w:p>
          <w:p w14:paraId="3A28B464" w14:textId="77777777" w:rsidR="003B5D81" w:rsidRDefault="003B5D81" w:rsidP="004E3550">
            <w:pPr>
              <w:pStyle w:val="MHHSBody"/>
              <w:spacing w:after="20" w:line="0" w:lineRule="atLeast"/>
              <w:rPr>
                <w:szCs w:val="16"/>
              </w:rPr>
            </w:pPr>
          </w:p>
          <w:p w14:paraId="19D5C966" w14:textId="398CB1B5" w:rsidR="003B5D81" w:rsidRDefault="00967F17" w:rsidP="004E3550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The Design Team require a CR to be raised to change what was a DIN item.  </w:t>
            </w:r>
            <w:r w:rsidR="003B5D81">
              <w:rPr>
                <w:szCs w:val="16"/>
              </w:rPr>
              <w:t xml:space="preserve">We believe that the change brought in as part of interim release 1 </w:t>
            </w:r>
            <w:r w:rsidR="009C46F5">
              <w:rPr>
                <w:szCs w:val="16"/>
              </w:rPr>
              <w:t xml:space="preserve">- </w:t>
            </w:r>
            <w:hyperlink r:id="rId12" w:history="1">
              <w:r w:rsidR="009C46F5" w:rsidRPr="009C46F5">
                <w:rPr>
                  <w:rStyle w:val="Hyperlink"/>
                  <w:rFonts w:ascii="Aptos Narrow" w:hAnsi="Aptos Narrow"/>
                  <w:sz w:val="22"/>
                  <w:shd w:val="clear" w:color="auto" w:fill="F5F5F5"/>
                </w:rPr>
                <w:t>MHHS-DIN-172</w:t>
              </w:r>
            </w:hyperlink>
            <w:r w:rsidR="009C46F5">
              <w:rPr>
                <w:rFonts w:ascii="Aptos Narrow" w:hAnsi="Aptos Narrow"/>
                <w:color w:val="242424"/>
                <w:sz w:val="22"/>
                <w:shd w:val="clear" w:color="auto" w:fill="F5F5F5"/>
              </w:rPr>
              <w:t xml:space="preserve"> </w:t>
            </w:r>
            <w:r w:rsidR="003B5D81">
              <w:rPr>
                <w:szCs w:val="16"/>
              </w:rPr>
              <w:t xml:space="preserve">should have been brought in itself via </w:t>
            </w:r>
            <w:r>
              <w:rPr>
                <w:szCs w:val="16"/>
              </w:rPr>
              <w:t>C</w:t>
            </w:r>
            <w:r w:rsidR="003B5D81">
              <w:rPr>
                <w:szCs w:val="16"/>
              </w:rPr>
              <w:t xml:space="preserve">hange </w:t>
            </w:r>
            <w:r>
              <w:rPr>
                <w:szCs w:val="16"/>
              </w:rPr>
              <w:t>R</w:t>
            </w:r>
            <w:r w:rsidR="003B5D81">
              <w:rPr>
                <w:szCs w:val="16"/>
              </w:rPr>
              <w:t xml:space="preserve">equest </w:t>
            </w:r>
            <w:r w:rsidR="009C46F5">
              <w:rPr>
                <w:szCs w:val="16"/>
              </w:rPr>
              <w:t xml:space="preserve">or discussed at DRG </w:t>
            </w:r>
            <w:r w:rsidR="003B5D81">
              <w:rPr>
                <w:szCs w:val="16"/>
              </w:rPr>
              <w:t>and should have been better articulated in the release material</w:t>
            </w:r>
            <w:r w:rsidR="00E47E07">
              <w:rPr>
                <w:szCs w:val="16"/>
              </w:rPr>
              <w:t xml:space="preserve"> – as evidenced above</w:t>
            </w:r>
            <w:r w:rsidR="00B1043F">
              <w:rPr>
                <w:szCs w:val="16"/>
              </w:rPr>
              <w:t xml:space="preserve">.  There were </w:t>
            </w:r>
            <w:r w:rsidR="00172D59">
              <w:rPr>
                <w:szCs w:val="16"/>
              </w:rPr>
              <w:t>155</w:t>
            </w:r>
            <w:r w:rsidR="00B1043F">
              <w:rPr>
                <w:szCs w:val="16"/>
              </w:rPr>
              <w:t xml:space="preserve"> DIN items addressed in interim release</w:t>
            </w:r>
            <w:r w:rsidR="0071020E">
              <w:rPr>
                <w:szCs w:val="16"/>
              </w:rPr>
              <w:t xml:space="preserve"> </w:t>
            </w:r>
            <w:r w:rsidR="00B1043F">
              <w:rPr>
                <w:szCs w:val="16"/>
              </w:rPr>
              <w:t>1.</w:t>
            </w:r>
            <w:r w:rsidR="009C46F5">
              <w:rPr>
                <w:szCs w:val="16"/>
              </w:rPr>
              <w:t xml:space="preserve"> </w:t>
            </w:r>
            <w:r w:rsidR="00B1043F">
              <w:rPr>
                <w:szCs w:val="16"/>
              </w:rPr>
              <w:t>DIN-172</w:t>
            </w:r>
            <w:r w:rsidR="009C46F5">
              <w:rPr>
                <w:szCs w:val="16"/>
              </w:rPr>
              <w:t xml:space="preserve"> does not consider the possibility of late processing of appointment requests </w:t>
            </w:r>
            <w:r w:rsidR="00FA308D">
              <w:rPr>
                <w:szCs w:val="16"/>
              </w:rPr>
              <w:t xml:space="preserve">which could </w:t>
            </w:r>
            <w:r w:rsidR="00B545DF">
              <w:rPr>
                <w:szCs w:val="16"/>
              </w:rPr>
              <w:t xml:space="preserve">result from CR018 </w:t>
            </w:r>
            <w:r w:rsidR="00160B03">
              <w:rPr>
                <w:szCs w:val="16"/>
              </w:rPr>
              <w:t xml:space="preserve">- </w:t>
            </w:r>
            <w:r w:rsidR="00160B03" w:rsidRPr="00160B03">
              <w:rPr>
                <w:szCs w:val="16"/>
              </w:rPr>
              <w:t xml:space="preserve">Registration Service Operating Hours </w:t>
            </w:r>
            <w:r w:rsidR="009C46F5">
              <w:rPr>
                <w:szCs w:val="16"/>
              </w:rPr>
              <w:t>or anticipate the SSD correction tool (CR045)</w:t>
            </w:r>
            <w:r>
              <w:rPr>
                <w:szCs w:val="16"/>
              </w:rPr>
              <w:t xml:space="preserve">.  </w:t>
            </w:r>
          </w:p>
          <w:p w14:paraId="00743A53" w14:textId="77777777" w:rsidR="00660EB9" w:rsidRDefault="00660EB9" w:rsidP="004E3550">
            <w:pPr>
              <w:pStyle w:val="MHHSBody"/>
              <w:spacing w:after="20" w:line="0" w:lineRule="atLeast"/>
              <w:rPr>
                <w:szCs w:val="16"/>
              </w:rPr>
            </w:pPr>
          </w:p>
          <w:p w14:paraId="1CA38926" w14:textId="734BCD25" w:rsidR="00660EB9" w:rsidRDefault="00660EB9" w:rsidP="004E3550">
            <w:pPr>
              <w:pStyle w:val="MHHSBody"/>
              <w:spacing w:after="20" w:line="0" w:lineRule="atLeast"/>
              <w:rPr>
                <w:szCs w:val="16"/>
              </w:rPr>
            </w:pPr>
            <w:r>
              <w:rPr>
                <w:szCs w:val="16"/>
              </w:rPr>
              <w:t xml:space="preserve">We </w:t>
            </w:r>
            <w:r w:rsidR="00C219B9">
              <w:rPr>
                <w:szCs w:val="16"/>
              </w:rPr>
              <w:t>would like to point out that CR018 was only approved at DAG on 12 July 2023</w:t>
            </w:r>
            <w:r w:rsidR="00EE5777">
              <w:rPr>
                <w:szCs w:val="16"/>
              </w:rPr>
              <w:t xml:space="preserve"> – Interim Release 1 was issued on 15 June 2023.</w:t>
            </w:r>
          </w:p>
          <w:p w14:paraId="5722607C" w14:textId="77777777" w:rsidR="00B545DF" w:rsidRDefault="00B545DF" w:rsidP="004E3550">
            <w:pPr>
              <w:pStyle w:val="MHHSBody"/>
              <w:spacing w:after="20" w:line="0" w:lineRule="atLeast"/>
              <w:rPr>
                <w:szCs w:val="16"/>
              </w:rPr>
            </w:pPr>
          </w:p>
          <w:p w14:paraId="6B3C7E36" w14:textId="658A4338" w:rsidR="00E7344A" w:rsidRDefault="00C21B6F" w:rsidP="004E3550">
            <w:pPr>
              <w:pStyle w:val="MHHSBody"/>
              <w:spacing w:after="20" w:line="0" w:lineRule="atLeast"/>
            </w:pPr>
            <w:r>
              <w:rPr>
                <w:szCs w:val="16"/>
              </w:rPr>
              <w:t>If</w:t>
            </w:r>
            <w:r w:rsidR="00B545DF">
              <w:rPr>
                <w:szCs w:val="16"/>
              </w:rPr>
              <w:t xml:space="preserve"> there</w:t>
            </w:r>
            <w:r w:rsidR="00053807">
              <w:rPr>
                <w:szCs w:val="16"/>
              </w:rPr>
              <w:t xml:space="preserve"> an outage similar to that experienced at CSS on 6 July 2023 then this would result in all appointments being rejected and </w:t>
            </w:r>
            <w:r w:rsidR="009207AC">
              <w:rPr>
                <w:szCs w:val="16"/>
              </w:rPr>
              <w:t xml:space="preserve">resubmitted. </w:t>
            </w:r>
            <w:r w:rsidR="00E5144C">
              <w:rPr>
                <w:szCs w:val="16"/>
              </w:rPr>
              <w:t>For more information see</w:t>
            </w:r>
            <w:r w:rsidR="009207AC">
              <w:rPr>
                <w:szCs w:val="16"/>
              </w:rPr>
              <w:t xml:space="preserve"> </w:t>
            </w:r>
            <w:r w:rsidR="00E5144C">
              <w:t xml:space="preserve"> - and </w:t>
            </w:r>
            <w:hyperlink r:id="rId13" w:history="1">
              <w:r w:rsidR="00E5144C">
                <w:rPr>
                  <w:rStyle w:val="Hyperlink"/>
                </w:rPr>
                <w:t>Clarify &amp; strengthen CRS Providers requirements - REC Portal</w:t>
              </w:r>
            </w:hyperlink>
            <w:r>
              <w:t xml:space="preserve">.  </w:t>
            </w:r>
          </w:p>
          <w:p w14:paraId="086A2A9F" w14:textId="77777777" w:rsidR="00E7344A" w:rsidRDefault="00E7344A" w:rsidP="004E3550">
            <w:pPr>
              <w:pStyle w:val="MHHSBody"/>
              <w:spacing w:after="20" w:line="0" w:lineRule="atLeast"/>
            </w:pPr>
          </w:p>
          <w:p w14:paraId="271E0E69" w14:textId="1197663D" w:rsidR="00E7344A" w:rsidRDefault="00000000" w:rsidP="004E3550">
            <w:pPr>
              <w:pStyle w:val="MHHSBody"/>
              <w:spacing w:after="20" w:line="0" w:lineRule="atLeast"/>
            </w:pPr>
            <w:hyperlink r:id="rId14" w:history="1">
              <w:r w:rsidR="00E7344A" w:rsidRPr="00AF31C4">
                <w:rPr>
                  <w:rStyle w:val="Hyperlink"/>
                </w:rPr>
                <w:t>https://recportal.co.uk/group/guest/-/clarify-strengthen-crs-providers-requirements?p_l_back_url=%2Fsearch%3Fq%3DCLARIFY%2BAND%2BSTRENGTHEN%2BCRS%2BPROVIDERS%25E2%2580%2599%2BREQUIREMENTS</w:t>
              </w:r>
            </w:hyperlink>
          </w:p>
          <w:p w14:paraId="6C0CFAA1" w14:textId="77777777" w:rsidR="00E7344A" w:rsidRDefault="00E7344A" w:rsidP="004E3550">
            <w:pPr>
              <w:pStyle w:val="MHHSBody"/>
              <w:spacing w:after="20" w:line="0" w:lineRule="atLeast"/>
            </w:pPr>
          </w:p>
          <w:p w14:paraId="40D6918A" w14:textId="759725AF" w:rsidR="00E7344A" w:rsidRDefault="00E7344A" w:rsidP="00147920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>
              <w:t>requires a rec portal log in.</w:t>
            </w:r>
          </w:p>
          <w:p w14:paraId="61E92D34" w14:textId="77777777" w:rsidR="00E7344A" w:rsidRDefault="00E7344A" w:rsidP="004E3550">
            <w:pPr>
              <w:pStyle w:val="MHHSBody"/>
              <w:spacing w:after="20" w:line="0" w:lineRule="atLeast"/>
            </w:pPr>
          </w:p>
          <w:p w14:paraId="0E0706E5" w14:textId="0441ACB7" w:rsidR="00B545DF" w:rsidRPr="004E3550" w:rsidRDefault="00C21B6F" w:rsidP="004E3550">
            <w:pPr>
              <w:pStyle w:val="MHHSBody"/>
              <w:spacing w:after="20" w:line="0" w:lineRule="atLeast"/>
              <w:rPr>
                <w:szCs w:val="16"/>
              </w:rPr>
            </w:pPr>
            <w:r>
              <w:t>That would not be required if the change in logic described below was implemented</w:t>
            </w:r>
            <w:r w:rsidR="00E7344A">
              <w:t>.</w:t>
            </w:r>
          </w:p>
          <w:p w14:paraId="029A71F8" w14:textId="4D5EE4C4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20F0E9C2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032C84D4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0E97DB64" w14:textId="72DE8C19" w:rsidR="008634DA" w:rsidRPr="00967F17" w:rsidRDefault="008634DA" w:rsidP="00BA4845">
            <w:pPr>
              <w:pStyle w:val="MHHSBody"/>
              <w:spacing w:after="20" w:line="0" w:lineRule="atLeast"/>
              <w:rPr>
                <w:szCs w:val="16"/>
              </w:rPr>
            </w:pPr>
            <w:r w:rsidRPr="00967F17">
              <w:rPr>
                <w:szCs w:val="16"/>
              </w:rPr>
              <w:t>If no S</w:t>
            </w:r>
            <w:r w:rsidR="00967F17" w:rsidRPr="00967F17">
              <w:rPr>
                <w:szCs w:val="16"/>
              </w:rPr>
              <w:t xml:space="preserve">ervice </w:t>
            </w:r>
            <w:r w:rsidRPr="00967F17">
              <w:rPr>
                <w:szCs w:val="16"/>
              </w:rPr>
              <w:t>P</w:t>
            </w:r>
            <w:r w:rsidR="00967F17" w:rsidRPr="00967F17">
              <w:rPr>
                <w:szCs w:val="16"/>
              </w:rPr>
              <w:t>rovider</w:t>
            </w:r>
            <w:r w:rsidRPr="00967F17">
              <w:rPr>
                <w:szCs w:val="16"/>
              </w:rPr>
              <w:t xml:space="preserve"> is in place this cannot be a Change of Service Provider event, the </w:t>
            </w:r>
            <w:r w:rsidR="00967F17" w:rsidRPr="00967F17">
              <w:rPr>
                <w:szCs w:val="16"/>
              </w:rPr>
              <w:t xml:space="preserve">fact that the </w:t>
            </w:r>
            <w:r w:rsidRPr="00967F17">
              <w:rPr>
                <w:szCs w:val="16"/>
              </w:rPr>
              <w:t>request is being processed after SSD</w:t>
            </w:r>
            <w:r w:rsidR="00967F17" w:rsidRPr="00967F17">
              <w:rPr>
                <w:szCs w:val="16"/>
              </w:rPr>
              <w:t xml:space="preserve"> is not material.</w:t>
            </w:r>
          </w:p>
          <w:p w14:paraId="059A27F8" w14:textId="00ACB5C4" w:rsidR="008634DA" w:rsidRPr="00967F17" w:rsidRDefault="008634DA" w:rsidP="00967F17">
            <w:pPr>
              <w:pStyle w:val="MHHSBody"/>
              <w:spacing w:after="20" w:line="0" w:lineRule="atLeast"/>
              <w:rPr>
                <w:szCs w:val="16"/>
              </w:rPr>
            </w:pPr>
            <w:r w:rsidRPr="00967F17">
              <w:rPr>
                <w:szCs w:val="16"/>
              </w:rPr>
              <w:br/>
              <w:t>If the agent is being appointed from SSD (irrespective of the day it is being processed - pre or post SSD) then the IF031 with event code of CoS [Change of Supplier] should be valid.  </w:t>
            </w:r>
            <w:r w:rsidR="00967F17" w:rsidRPr="00967F17">
              <w:rPr>
                <w:szCs w:val="16"/>
              </w:rPr>
              <w:t>This is required to handle appointments which are processed late or a retrospective SSD change.</w:t>
            </w:r>
            <w:r w:rsidRPr="00967F17">
              <w:rPr>
                <w:szCs w:val="16"/>
              </w:rPr>
              <w:br/>
            </w:r>
          </w:p>
          <w:p w14:paraId="193F0008" w14:textId="5D593D2F" w:rsidR="00D07618" w:rsidRDefault="008634DA" w:rsidP="00147920">
            <w:pPr>
              <w:pStyle w:val="MHHSBody"/>
              <w:spacing w:after="20" w:line="0" w:lineRule="atLeast"/>
            </w:pPr>
            <w:r w:rsidRPr="00967F17">
              <w:rPr>
                <w:szCs w:val="16"/>
              </w:rPr>
              <w:t>If there is an SP appointed by the current Supplier and the new SP is being appointed from any date other than the SSD then it is a Change of Service Provider (CSP event).</w:t>
            </w:r>
          </w:p>
        </w:tc>
      </w:tr>
      <w:tr w:rsidR="009D5B37" w14:paraId="3C8E66E6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1BA16F52" w14:textId="10F0CD59" w:rsidR="009D5B37" w:rsidRPr="009943F7" w:rsidRDefault="00C32F6C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00F7003E" w14:textId="77777777" w:rsidR="00D07618" w:rsidRDefault="008634DA" w:rsidP="00790171">
            <w:pPr>
              <w:pStyle w:val="MHHSBody"/>
            </w:pPr>
            <w:r>
              <w:t xml:space="preserve">The cost of implementing the change at Registration Service will be significantly less than requiring all Suppliers and their Service Providers </w:t>
            </w:r>
            <w:r w:rsidR="009C46F5">
              <w:t>to handle flawed logic in their systems and reporting.</w:t>
            </w:r>
          </w:p>
          <w:p w14:paraId="415F3F3B" w14:textId="44A5EB08" w:rsidR="00FC7BF2" w:rsidRDefault="00FC7BF2" w:rsidP="00FC7BF2">
            <w:pPr>
              <w:pStyle w:val="MHHSBody"/>
            </w:pPr>
            <w:r>
              <w:t>In terms of settlement risks the 2024-</w:t>
            </w:r>
            <w:r w:rsidR="00C42087">
              <w:t>25 Risk</w:t>
            </w:r>
            <w:r>
              <w:t xml:space="preserve"> Evaluation Register (RER) includes an ongoing settlement risk associated to agent appointments (settlement Risk 14)</w:t>
            </w:r>
            <w:r w:rsidR="00DD6EBE">
              <w:t xml:space="preserve"> </w:t>
            </w:r>
            <w:r>
              <w:t>due to switching rates returning pre-pandemic levels so increased the risk rating from Low to Medium via the following rationale:</w:t>
            </w:r>
          </w:p>
          <w:p w14:paraId="51648946" w14:textId="46CC0269" w:rsidR="00FC7BF2" w:rsidRDefault="00FC7BF2" w:rsidP="00FC7BF2">
            <w:pPr>
              <w:pStyle w:val="MHHSBody"/>
            </w:pPr>
            <w:r>
              <w:t>“Increased switching results in more appointment and de-appointments of Agents subsequently increasing the potential for error in the process” (</w:t>
            </w:r>
            <w:r w:rsidRPr="00FC7BF2">
              <w:t>https://www.elexon.co.uk/documents/performance-assurance/processes/paf/risk-evaluation-register-2024-25/</w:t>
            </w:r>
            <w:r>
              <w:t>)</w:t>
            </w:r>
          </w:p>
          <w:p w14:paraId="0BD4FA9D" w14:textId="1CC20D62" w:rsidR="007E5AA6" w:rsidRDefault="00E87FDF" w:rsidP="00147920">
            <w:pPr>
              <w:pStyle w:val="MHHSBody"/>
              <w:jc w:val="both"/>
            </w:pPr>
            <w:r w:rsidRPr="00E87FDF">
              <w:t>The current design baseline is creating a new exception type that does not exist in today’s DTN derived appointment processes which will ultimately add to the probability of agent appointments being accepted in a timely fashion as close to SSD as is possible because of the need to amend the appointment reason code, despite the eventual outcome of MHHSP reducing settlement timings combined with a wider drive to complete CoS in shrinking timescales (currently 5 Working days) the baseline only provides rationale to maintain or increase settlement risk 14 risk rating.</w:t>
            </w:r>
          </w:p>
          <w:p w14:paraId="65B24640" w14:textId="33B17B2F" w:rsidR="00F91BA8" w:rsidRDefault="00F91BA8" w:rsidP="00790171">
            <w:pPr>
              <w:pStyle w:val="MHHSBody"/>
            </w:pPr>
            <w:r>
              <w:t xml:space="preserve">The </w:t>
            </w:r>
            <w:r w:rsidR="00FB231B">
              <w:t xml:space="preserve">implementation of DIN-172 further compresses the timelines suppliers have to </w:t>
            </w:r>
            <w:r w:rsidR="009670BB">
              <w:t>execute a switch</w:t>
            </w:r>
            <w:r w:rsidR="00CB10DF">
              <w:t xml:space="preserve">, rectify an erroneous switch or </w:t>
            </w:r>
            <w:r w:rsidR="007B47B6">
              <w:t xml:space="preserve">initiate a new connection as ensuring the IF031 is sent </w:t>
            </w:r>
            <w:r w:rsidR="00DA7C63">
              <w:t>immediately becomes critical.</w:t>
            </w:r>
          </w:p>
          <w:p w14:paraId="55446974" w14:textId="544F4F9E" w:rsidR="001E54CB" w:rsidRDefault="001E54CB" w:rsidP="00790171">
            <w:pPr>
              <w:pStyle w:val="MHHSBody"/>
            </w:pPr>
            <w:r>
              <w:t xml:space="preserve">Should there be an outage resulting </w:t>
            </w:r>
            <w:r w:rsidR="00472BC4">
              <w:t>in appointments being processed late then the appointments will need to be resubmitted – this will exacerbate what will a</w:t>
            </w:r>
            <w:r w:rsidR="00023494">
              <w:t xml:space="preserve">lready be a difficult </w:t>
            </w:r>
            <w:r w:rsidR="002B49E7">
              <w:t>situation for all market participants.</w:t>
            </w:r>
          </w:p>
        </w:tc>
      </w:tr>
      <w:tr w:rsidR="009D5B37" w14:paraId="4937AE4F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07F2A83B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1C70019D" w14:textId="5B26B21D" w:rsidR="009C46F5" w:rsidRPr="00967F17" w:rsidRDefault="008634DA" w:rsidP="00BA4845">
            <w:pPr>
              <w:pStyle w:val="MHHSBody"/>
              <w:rPr>
                <w:szCs w:val="16"/>
              </w:rPr>
            </w:pPr>
            <w:r w:rsidRPr="00967F17">
              <w:rPr>
                <w:szCs w:val="16"/>
              </w:rPr>
              <w:t>Due to Registration Service processing timing rules implemented under CR018 it is likely the currently implemented logic (as described in the document D006</w:t>
            </w:r>
            <w:r w:rsidR="00967F17">
              <w:rPr>
                <w:szCs w:val="16"/>
              </w:rPr>
              <w:t xml:space="preserve"> and Interim Release 1, DIN-172</w:t>
            </w:r>
            <w:r w:rsidRPr="00967F17">
              <w:rPr>
                <w:szCs w:val="16"/>
              </w:rPr>
              <w:t>)</w:t>
            </w:r>
            <w:r w:rsidRPr="00967F17">
              <w:rPr>
                <w:b/>
                <w:bCs/>
                <w:szCs w:val="16"/>
              </w:rPr>
              <w:t xml:space="preserve"> </w:t>
            </w:r>
            <w:r w:rsidRPr="00967F17">
              <w:rPr>
                <w:szCs w:val="16"/>
              </w:rPr>
              <w:t xml:space="preserve">will result in more rejections as the supplier could have sent the IF031 </w:t>
            </w:r>
            <w:r w:rsidR="00147920" w:rsidRPr="00967F17">
              <w:rPr>
                <w:szCs w:val="16"/>
              </w:rPr>
              <w:t>pre-SSD but</w:t>
            </w:r>
            <w:r w:rsidRPr="00967F17">
              <w:rPr>
                <w:szCs w:val="16"/>
              </w:rPr>
              <w:t xml:space="preserve"> would not have been processed</w:t>
            </w:r>
            <w:r w:rsidR="00967F17">
              <w:rPr>
                <w:szCs w:val="16"/>
              </w:rPr>
              <w:t xml:space="preserve"> as it is received outside availability hours</w:t>
            </w:r>
            <w:r w:rsidRPr="00967F17">
              <w:rPr>
                <w:szCs w:val="16"/>
              </w:rPr>
              <w:t xml:space="preserve">. This could become significant if there </w:t>
            </w:r>
            <w:r w:rsidR="009C46F5" w:rsidRPr="00967F17">
              <w:rPr>
                <w:szCs w:val="16"/>
              </w:rPr>
              <w:t>is an outage and would require suppliers to resend all their appointment requests.</w:t>
            </w:r>
          </w:p>
          <w:p w14:paraId="2579FE5D" w14:textId="77777777" w:rsidR="009C46F5" w:rsidRPr="00967F17" w:rsidRDefault="009C46F5" w:rsidP="00BA4845">
            <w:pPr>
              <w:pStyle w:val="MHHSBody"/>
              <w:rPr>
                <w:szCs w:val="16"/>
              </w:rPr>
            </w:pPr>
            <w:r w:rsidRPr="00967F17">
              <w:rPr>
                <w:szCs w:val="16"/>
              </w:rPr>
              <w:t xml:space="preserve">The above risks having no Service Providers in place resulting in </w:t>
            </w:r>
          </w:p>
          <w:p w14:paraId="6ADC57A0" w14:textId="45959C7F" w:rsidR="009C46F5" w:rsidRPr="00967F17" w:rsidRDefault="009C46F5" w:rsidP="00BA4845">
            <w:pPr>
              <w:pStyle w:val="MHHSBody"/>
              <w:rPr>
                <w:szCs w:val="16"/>
              </w:rPr>
            </w:pPr>
            <w:r w:rsidRPr="00967F17">
              <w:rPr>
                <w:szCs w:val="16"/>
              </w:rPr>
              <w:t xml:space="preserve">a) potential customer detriment if metering work is required </w:t>
            </w:r>
            <w:r w:rsidR="00F7565C">
              <w:rPr>
                <w:szCs w:val="16"/>
              </w:rPr>
              <w:t>and in the case of customer own agents – the agent appointed at the correct contract date</w:t>
            </w:r>
          </w:p>
          <w:p w14:paraId="61642F90" w14:textId="77777777" w:rsidR="00022FD6" w:rsidRDefault="009C46F5" w:rsidP="00BA4845">
            <w:pPr>
              <w:pStyle w:val="MHHSBody"/>
              <w:rPr>
                <w:szCs w:val="16"/>
              </w:rPr>
            </w:pPr>
            <w:r w:rsidRPr="00967F17">
              <w:rPr>
                <w:szCs w:val="16"/>
              </w:rPr>
              <w:t>b) impact to settlement as no consumption will be sent until the DS is appointed.</w:t>
            </w:r>
          </w:p>
          <w:p w14:paraId="1F2A298B" w14:textId="77777777" w:rsidR="009C46F5" w:rsidRPr="00F7565C" w:rsidRDefault="009C46F5" w:rsidP="00BA4845">
            <w:pPr>
              <w:pStyle w:val="MHHSBody"/>
              <w:rPr>
                <w:szCs w:val="16"/>
              </w:rPr>
            </w:pPr>
          </w:p>
          <w:p w14:paraId="732CA866" w14:textId="4832BE24" w:rsidR="00D95508" w:rsidRDefault="009C46F5" w:rsidP="00BA4845">
            <w:pPr>
              <w:pStyle w:val="MHHSBody"/>
              <w:rPr>
                <w:szCs w:val="16"/>
              </w:rPr>
            </w:pPr>
            <w:r w:rsidRPr="00F7565C">
              <w:rPr>
                <w:szCs w:val="16"/>
              </w:rPr>
              <w:t>If the current position is followed it will be very difficult to distinguish Change of Supplier gain and Change of Agent in MI</w:t>
            </w:r>
            <w:r w:rsidR="00DF238D" w:rsidRPr="00F7565C">
              <w:rPr>
                <w:szCs w:val="16"/>
              </w:rPr>
              <w:t xml:space="preserve"> and operational reporting for Suppliers and Agents.</w:t>
            </w:r>
          </w:p>
          <w:p w14:paraId="583CE626" w14:textId="77777777" w:rsidR="002346F2" w:rsidRDefault="002346F2" w:rsidP="00BA4845">
            <w:pPr>
              <w:pStyle w:val="MHHSBody"/>
              <w:rPr>
                <w:szCs w:val="16"/>
              </w:rPr>
            </w:pPr>
          </w:p>
          <w:p w14:paraId="1189D87D" w14:textId="076F996F" w:rsidR="002346F2" w:rsidRPr="00F7565C" w:rsidRDefault="002346F2" w:rsidP="00BA4845">
            <w:pPr>
              <w:pStyle w:val="MHHSBody"/>
              <w:rPr>
                <w:szCs w:val="16"/>
              </w:rPr>
            </w:pPr>
            <w:r>
              <w:t xml:space="preserve">Suppliers </w:t>
            </w:r>
            <w:r w:rsidR="00FC13B8">
              <w:t xml:space="preserve">will </w:t>
            </w:r>
            <w:r>
              <w:t>hav</w:t>
            </w:r>
            <w:r w:rsidR="00B10274">
              <w:t>e</w:t>
            </w:r>
            <w:r w:rsidR="00FC13B8">
              <w:t xml:space="preserve"> </w:t>
            </w:r>
            <w:r>
              <w:t xml:space="preserve">to resend appointment requests in the event of a DIP outage and </w:t>
            </w:r>
            <w:r w:rsidR="00812DCF">
              <w:t xml:space="preserve">as a result of this there will be </w:t>
            </w:r>
            <w:r>
              <w:t xml:space="preserve">consequential </w:t>
            </w:r>
            <w:r w:rsidR="00812DCF">
              <w:t xml:space="preserve">additional </w:t>
            </w:r>
            <w:r>
              <w:t xml:space="preserve">processing of appointments by Registration Service and Service Providers.  </w:t>
            </w:r>
          </w:p>
          <w:p w14:paraId="3E0E64A4" w14:textId="22976216" w:rsidR="00D07618" w:rsidRPr="00960D82" w:rsidRDefault="008634DA" w:rsidP="00BA4845">
            <w:pPr>
              <w:pStyle w:val="MHHSBody"/>
            </w:pPr>
            <w:r w:rsidRPr="00F7565C">
              <w:rPr>
                <w:szCs w:val="16"/>
              </w:rPr>
              <w:br/>
            </w:r>
            <w:r w:rsidR="009C46F5" w:rsidRPr="00F7565C">
              <w:rPr>
                <w:szCs w:val="16"/>
              </w:rPr>
              <w:t>Note that with respect to</w:t>
            </w:r>
            <w:r w:rsidRPr="00F7565C">
              <w:rPr>
                <w:szCs w:val="16"/>
              </w:rPr>
              <w:t xml:space="preserve"> New Connections and E</w:t>
            </w:r>
            <w:r w:rsidR="009C46F5" w:rsidRPr="00F7565C">
              <w:rPr>
                <w:szCs w:val="16"/>
              </w:rPr>
              <w:t>rroneous Switche</w:t>
            </w:r>
            <w:r w:rsidRPr="00F7565C">
              <w:rPr>
                <w:szCs w:val="16"/>
              </w:rPr>
              <w:t>s</w:t>
            </w:r>
            <w:r w:rsidR="009C46F5" w:rsidRPr="00F7565C">
              <w:rPr>
                <w:szCs w:val="16"/>
              </w:rPr>
              <w:t>/ Transfers</w:t>
            </w:r>
            <w:r w:rsidRPr="00F7565C">
              <w:rPr>
                <w:szCs w:val="16"/>
              </w:rPr>
              <w:t>, these could easily be processed without any full working day between the request and SSD (There is no objection window for either of these processes).</w:t>
            </w:r>
            <w:r w:rsidRPr="00F7565C">
              <w:rPr>
                <w:szCs w:val="16"/>
              </w:rPr>
              <w:br/>
            </w:r>
          </w:p>
        </w:tc>
      </w:tr>
      <w:tr w:rsidR="00672D21" w14:paraId="5BEB428A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7129410D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767404DB" w14:textId="482ACD71" w:rsidR="00D94CB0" w:rsidRPr="00DF238D" w:rsidRDefault="00DF238D" w:rsidP="00BA4845">
            <w:pPr>
              <w:pStyle w:val="MHHSBody"/>
              <w:spacing w:after="20" w:line="0" w:lineRule="atLeast"/>
              <w:rPr>
                <w:bCs/>
              </w:rPr>
            </w:pPr>
            <w:r w:rsidRPr="00DF238D">
              <w:rPr>
                <w:bCs/>
              </w:rPr>
              <w:t>None either keep the DIN-172 logic or follow logic above</w:t>
            </w:r>
            <w:r w:rsidR="007A4425">
              <w:rPr>
                <w:bCs/>
              </w:rPr>
              <w:t xml:space="preserve"> and accept risks articulated above.</w:t>
            </w:r>
          </w:p>
        </w:tc>
      </w:tr>
      <w:tr w:rsidR="00672D21" w14:paraId="08F21222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3460B572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61D6CFE3" w14:textId="263D6379" w:rsidR="00D94CB0" w:rsidRPr="00DF238D" w:rsidRDefault="00DF238D" w:rsidP="00BA4845">
            <w:pPr>
              <w:pStyle w:val="MHHSBody"/>
              <w:spacing w:after="20" w:line="0" w:lineRule="atLeast"/>
              <w:rPr>
                <w:bCs/>
              </w:rPr>
            </w:pPr>
            <w:r w:rsidRPr="00DF238D">
              <w:rPr>
                <w:bCs/>
              </w:rPr>
              <w:t>Impact To registration Service timelines.</w:t>
            </w:r>
          </w:p>
        </w:tc>
      </w:tr>
      <w:tr w:rsidR="00593C2D" w14:paraId="44045F1C" w14:textId="77777777" w:rsidTr="00147920">
        <w:trPr>
          <w:trHeight w:val="1515"/>
        </w:trPr>
        <w:tc>
          <w:tcPr>
            <w:tcW w:w="10343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2014CDA3" w14:textId="096C7858" w:rsidR="00D94CB0" w:rsidRDefault="00DF238D" w:rsidP="00BA4845">
            <w:pPr>
              <w:pStyle w:val="MHHSBody"/>
              <w:spacing w:after="20" w:line="0" w:lineRule="atLeast"/>
              <w:rPr>
                <w:b/>
              </w:rPr>
            </w:pPr>
            <w:r>
              <w:rPr>
                <w:b/>
              </w:rPr>
              <w:t xml:space="preserve">Large Medium </w:t>
            </w:r>
            <w:r w:rsidR="00F7565C">
              <w:rPr>
                <w:b/>
              </w:rPr>
              <w:t xml:space="preserve">Small </w:t>
            </w:r>
            <w:r>
              <w:rPr>
                <w:b/>
              </w:rPr>
              <w:t>Suppliers</w:t>
            </w:r>
          </w:p>
          <w:p w14:paraId="7DB237B0" w14:textId="77777777" w:rsidR="00DF238D" w:rsidRDefault="00DF238D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0AB7B0C0" w14:textId="6DBE9C22" w:rsidR="00DF238D" w:rsidRPr="00960D82" w:rsidRDefault="00DF238D" w:rsidP="00BA4845">
            <w:pPr>
              <w:pStyle w:val="MHHSBody"/>
              <w:spacing w:after="20" w:line="0" w:lineRule="atLeast"/>
              <w:rPr>
                <w:b/>
              </w:rPr>
            </w:pPr>
            <w:r>
              <w:rPr>
                <w:b/>
              </w:rPr>
              <w:t>Data and Metering Services</w:t>
            </w:r>
          </w:p>
        </w:tc>
      </w:tr>
      <w:tr w:rsidR="00E86758" w14:paraId="0A18EEC5" w14:textId="77777777" w:rsidTr="00147920">
        <w:trPr>
          <w:trHeight w:val="615"/>
        </w:trPr>
        <w:tc>
          <w:tcPr>
            <w:tcW w:w="1696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8647" w:type="dxa"/>
          </w:tcPr>
          <w:p w14:paraId="7826F885" w14:textId="212F43E9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DF238D">
              <w:t>ASAP</w:t>
            </w:r>
            <w:r w:rsidR="007A4425">
              <w:t>, and needs to be implemented with CR045 at the very latest.</w:t>
            </w:r>
            <w:r w:rsidR="00C748B8">
              <w:t xml:space="preserve">  Can the CR </w:t>
            </w:r>
            <w:r w:rsidR="00A26122">
              <w:t>be expedited as this has a material effect on cost for suppliers and agents.</w:t>
            </w:r>
          </w:p>
        </w:tc>
      </w:tr>
    </w:tbl>
    <w:p w14:paraId="1AC546C8" w14:textId="438D2CEF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0C2283F7" w14:textId="66458E9E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7884D8D5" w14:textId="20D20881" w:rsidR="00D51932" w:rsidRDefault="00DF238D" w:rsidP="00DF238D">
            <w:pPr>
              <w:pStyle w:val="MHHSBody"/>
              <w:numPr>
                <w:ilvl w:val="0"/>
                <w:numId w:val="30"/>
              </w:numPr>
            </w:pPr>
            <w:r>
              <w:t xml:space="preserve">Avoids changes to Supplier and Service Provide systems to cater for retrospective appointments </w:t>
            </w:r>
            <w:r w:rsidR="006A1E3B">
              <w:t>– we do not believe Suppliers or Agents have interpreted DIN-172 in the way the Registration Service and MHHS programme has</w:t>
            </w:r>
            <w:r w:rsidR="00861191">
              <w:t>.  This cost will ultimately be passed on to customers</w:t>
            </w:r>
            <w:r w:rsidR="007453F6">
              <w:t>.</w:t>
            </w:r>
          </w:p>
          <w:p w14:paraId="39A716C0" w14:textId="4D6B2B28" w:rsidR="00861191" w:rsidRDefault="00861191" w:rsidP="00DF238D">
            <w:pPr>
              <w:pStyle w:val="MHHSBody"/>
              <w:numPr>
                <w:ilvl w:val="0"/>
                <w:numId w:val="30"/>
              </w:numPr>
            </w:pPr>
            <w:r>
              <w:t xml:space="preserve">Avoids the risk of Metering Service not being appointed at SSD due to IF-031 rejection – if metering work is required this will result in customer detriment and the supplier will be in breach </w:t>
            </w:r>
            <w:r w:rsidR="00714879">
              <w:t>of BSCP709, paragraph 2.2</w:t>
            </w:r>
            <w:r w:rsidR="00230D0B">
              <w:t xml:space="preserve"> due to events outside their control.</w:t>
            </w:r>
          </w:p>
          <w:p w14:paraId="6E0AC743" w14:textId="3F594BAA" w:rsidR="00861191" w:rsidRDefault="00861191" w:rsidP="00230D0B">
            <w:pPr>
              <w:pStyle w:val="MHHSBody"/>
              <w:numPr>
                <w:ilvl w:val="0"/>
                <w:numId w:val="30"/>
              </w:numPr>
            </w:pPr>
            <w:r>
              <w:t xml:space="preserve">Avoids the risk of </w:t>
            </w:r>
            <w:r w:rsidR="00230D0B">
              <w:t>Data</w:t>
            </w:r>
            <w:r>
              <w:t xml:space="preserve"> Service not being appointed at SSD due to IF-031 rejection – </w:t>
            </w:r>
            <w:r w:rsidR="00230D0B">
              <w:t>if consumption is not being passe</w:t>
            </w:r>
            <w:r>
              <w:t xml:space="preserve">d </w:t>
            </w:r>
            <w:r w:rsidR="00230D0B">
              <w:t xml:space="preserve">into settlement </w:t>
            </w:r>
            <w:r>
              <w:t xml:space="preserve">the supplier will be in breach of </w:t>
            </w:r>
            <w:r w:rsidR="00714879">
              <w:t xml:space="preserve">BSCP709, paragraph 2.2 </w:t>
            </w:r>
            <w:r w:rsidR="00230D0B">
              <w:t>due to events outside their control</w:t>
            </w:r>
            <w:r>
              <w:t>.</w:t>
            </w:r>
          </w:p>
          <w:p w14:paraId="44F41F3D" w14:textId="2E766807" w:rsidR="006A1E3B" w:rsidRDefault="006A1E3B" w:rsidP="00DF238D">
            <w:pPr>
              <w:pStyle w:val="MHHSBody"/>
              <w:numPr>
                <w:ilvl w:val="0"/>
                <w:numId w:val="30"/>
              </w:numPr>
            </w:pPr>
            <w:r>
              <w:t>If no agent is in place at SSD due to late processing of IF-031 this will avoid mass resubmission of agent appointments by suppliers and consequent</w:t>
            </w:r>
            <w:r w:rsidR="00110C8B">
              <w:t xml:space="preserve"> demands in processing which will affect most market participants.</w:t>
            </w:r>
          </w:p>
          <w:p w14:paraId="13C8A307" w14:textId="77777777" w:rsidR="00714879" w:rsidRDefault="00714879" w:rsidP="00DF238D">
            <w:pPr>
              <w:pStyle w:val="MHHSBody"/>
              <w:numPr>
                <w:ilvl w:val="0"/>
                <w:numId w:val="30"/>
              </w:numPr>
            </w:pPr>
            <w:r>
              <w:t>If and when CR045 SSD correction tool</w:t>
            </w:r>
            <w:r w:rsidR="00110C8B">
              <w:t xml:space="preserve"> is implemented </w:t>
            </w:r>
            <w:r>
              <w:t>then the event code will accurately reflect that the appointment relates to a CoS and is not a CoA</w:t>
            </w:r>
            <w:r w:rsidR="00D445C3">
              <w:t>.</w:t>
            </w:r>
          </w:p>
          <w:p w14:paraId="20F87222" w14:textId="4858AE25" w:rsidR="000958B7" w:rsidRDefault="000958B7" w:rsidP="00147920">
            <w:pPr>
              <w:pStyle w:val="MHHSBody"/>
              <w:ind w:left="720"/>
            </w:pP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717BC3F6" w:rsidR="002B04D8" w:rsidRDefault="00230D0B" w:rsidP="00151F9B">
            <w:pPr>
              <w:pStyle w:val="MHHSBody"/>
            </w:pPr>
            <w:r>
              <w:t xml:space="preserve">Aligned as </w:t>
            </w:r>
            <w:r w:rsidR="00D445C3">
              <w:t>there will be no interruption of consumption going into settlement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632355F4" w:rsidR="002B04D8" w:rsidRDefault="00D445C3" w:rsidP="00151F9B">
            <w:pPr>
              <w:pStyle w:val="MHHSBody"/>
            </w:pPr>
            <w:r>
              <w:t xml:space="preserve">Aligned as there will be no interruption of consumption going into settlement </w:t>
            </w:r>
            <w:r w:rsidR="002B04D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B04D8">
              <w:instrText xml:space="preserve"> FORMTEXT </w:instrText>
            </w:r>
            <w:r w:rsidR="002B04D8"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B04D8">
              <w:fldChar w:fldCharType="end"/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lastRenderedPageBreak/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15F7FCE4" w:rsidR="00151F9B" w:rsidRDefault="00551E3C" w:rsidP="00151F9B">
            <w:pPr>
              <w:pStyle w:val="MHHSBody"/>
            </w:pPr>
            <w:r>
              <w:t xml:space="preserve">Code does </w:t>
            </w:r>
            <w:r w:rsidR="00072379">
              <w:t xml:space="preserve">not </w:t>
            </w:r>
            <w:r>
              <w:t>go down to this level of detail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2BB0DAFE" w:rsidR="00151F9B" w:rsidRDefault="00072379" w:rsidP="00151F9B">
            <w:pPr>
              <w:pStyle w:val="MHHSBody"/>
            </w:pPr>
            <w:r>
              <w:t>This will have an impact on Registration Service but overall a far greater incremental impact on Supplier and agent systems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5097AD87" w:rsidR="00151F9B" w:rsidRDefault="00D445C3" w:rsidP="00151F9B">
            <w:pPr>
              <w:pStyle w:val="MHHSBody"/>
            </w:pPr>
            <w:r>
              <w:t xml:space="preserve">Avoids significant &amp; costly later change </w:t>
            </w:r>
            <w:r w:rsidR="007453F6">
              <w:t xml:space="preserve">to correct a </w:t>
            </w:r>
            <w:r w:rsidR="00085201">
              <w:t>design flaw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08D9FB8B" w:rsidR="00151F9B" w:rsidRDefault="00072379" w:rsidP="00151F9B">
            <w:pPr>
              <w:pStyle w:val="MHHSBody"/>
            </w:pPr>
            <w:r>
              <w:t>Aligned.  There is significant support for this amongst Suppliers and Service Providers</w:t>
            </w:r>
            <w:r w:rsidR="00085201">
              <w:t xml:space="preserve"> refer to DRG-16 </w:t>
            </w:r>
            <w:r w:rsidR="00147920">
              <w:t xml:space="preserve">and </w:t>
            </w:r>
            <w:r w:rsidR="00147920" w:rsidRPr="00BB4EE8">
              <w:t>FTIG</w:t>
            </w:r>
            <w:r w:rsidR="00BB4EE8" w:rsidRPr="00BB4EE8">
              <w:t xml:space="preserve"> agenda item - Obstacle D006</w:t>
            </w:r>
            <w:r w:rsidR="00BB4EE8">
              <w:t xml:space="preserve"> responses from suppliers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09966918" w:rsidR="00CF3F69" w:rsidRDefault="00072379" w:rsidP="00250039">
            <w:pPr>
              <w:pStyle w:val="MHHSBody"/>
            </w:pPr>
            <w:r>
              <w:t>Registration Service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0AB76BC3" w:rsidR="00CF3F69" w:rsidRDefault="00072379" w:rsidP="00250039">
            <w:pPr>
              <w:pStyle w:val="MHHSBody"/>
            </w:pPr>
            <w:r>
              <w:t>Validation of IF/PUB-031</w:t>
            </w:r>
            <w:r w:rsidR="00BB4EE8">
              <w:t xml:space="preserve"> and consequent</w:t>
            </w:r>
            <w:r w:rsidR="00EA57A5">
              <w:t>ial</w:t>
            </w:r>
            <w:r w:rsidR="00BB4EE8">
              <w:t xml:space="preserve"> appointment flows.</w:t>
            </w:r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766EFA79" w:rsidR="004E5557" w:rsidRPr="0054131D" w:rsidRDefault="00072379" w:rsidP="00250039">
            <w:pPr>
              <w:pStyle w:val="MHHSBody"/>
              <w:rPr>
                <w:i/>
                <w:iCs/>
              </w:rPr>
            </w:pPr>
            <w:r>
              <w:rPr>
                <w:i/>
                <w:iCs/>
              </w:rPr>
              <w:t>M10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2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3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4" w:name="Dropdown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2E5A3C1C" w:rsidR="004D0669" w:rsidRDefault="00F7565C" w:rsidP="005A4D7B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31E9784C" w14:textId="77777777" w:rsidR="00DC0239" w:rsidRDefault="00DC0239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E</w:t>
            </w:r>
            <w:r w:rsidRPr="00DC0239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nsure consistent CoS process and reduced exceptions </w:t>
            </w:r>
          </w:p>
          <w:p w14:paraId="49A126B9" w14:textId="61721B80" w:rsidR="004F734A" w:rsidRDefault="004F734A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Reduce impact on Agent Appointment Processes due to</w:t>
            </w:r>
            <w:r w:rsidR="00DC0239" w:rsidRPr="00DC0239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system outages and delays in processing due to CR0018 working hours agreement.</w:t>
            </w:r>
          </w:p>
          <w:p w14:paraId="4B0E24DB" w14:textId="68FB14B5" w:rsidR="007B7230" w:rsidRPr="007B7230" w:rsidRDefault="004F734A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Agent Appointment Processes complete on time</w:t>
            </w:r>
            <w:r w:rsidR="00897D5C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using the correct scenario (CoS for Change of Supply and CSP for Change of Agent) for reporting purposes</w:t>
            </w: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1F4DE7E3" w:rsidR="00CD1DDD" w:rsidRDefault="00F7565C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Avoids Customer Detriment incurred by having no Metering Service or Data Service appointed at SSD</w:t>
            </w:r>
          </w:p>
          <w:p w14:paraId="2AA5A5F2" w14:textId="32AB2A47" w:rsidR="00F7565C" w:rsidRPr="005B7D3A" w:rsidRDefault="00F7565C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Avoids Customer Detriment for Customer Own Agents not being appointed at the agreed contract start date.</w:t>
            </w:r>
          </w:p>
          <w:p w14:paraId="079D559A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5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schedule</w:t>
            </w:r>
          </w:p>
          <w:p w14:paraId="701B7E0A" w14:textId="07D84215" w:rsidR="00AF4AE2" w:rsidRPr="005B7D3A" w:rsidRDefault="00F7565C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Change will negatively impact the Registration Service</w:t>
            </w:r>
            <w:r w:rsidR="00AF4AE2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 w:rsidR="00B1549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 As the original change was implemented by </w:t>
            </w:r>
            <w:r w:rsidR="00147920">
              <w:rPr>
                <w:rFonts w:cstheme="minorHAnsi"/>
                <w:i/>
                <w:iCs/>
                <w:color w:val="041425" w:themeColor="text1"/>
                <w:szCs w:val="20"/>
              </w:rPr>
              <w:t>DIN,</w:t>
            </w:r>
            <w:r w:rsidR="00B1549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we do not see that this can be significant.</w:t>
            </w:r>
          </w:p>
          <w:p w14:paraId="67B38DD6" w14:textId="0ED6DC29" w:rsidR="00AF4AE2" w:rsidRPr="005B7D3A" w:rsidRDefault="00F7565C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Development time will be less than that incurred by Suppliers and Service Providers implementing DIN-172 in their systems.</w:t>
            </w:r>
          </w:p>
          <w:p w14:paraId="33CDB12D" w14:textId="69BF3726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33752396" w14:textId="77777777" w:rsidR="00F7565C" w:rsidRPr="005B7D3A" w:rsidRDefault="00F7565C" w:rsidP="00F7565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Change will negatively impact the Registration Service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2FE2FE38" w14:textId="77777777" w:rsidR="00F7565C" w:rsidRDefault="00F7565C" w:rsidP="00F7565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That cost will be smaller than the one incurred by Suppliers and Service Providers implementing DIN-172 in their systems.</w:t>
            </w:r>
          </w:p>
          <w:p w14:paraId="552719B1" w14:textId="6493AE47" w:rsidR="009056D8" w:rsidRPr="005B7D3A" w:rsidRDefault="00EA57A5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It will avoid the cost of having to submit late appointments </w:t>
            </w:r>
            <w:r w:rsidR="00554593">
              <w:rPr>
                <w:rFonts w:cstheme="minorHAnsi"/>
                <w:i/>
                <w:iCs/>
                <w:color w:val="041425" w:themeColor="text1"/>
                <w:szCs w:val="20"/>
              </w:rPr>
              <w:t>following a delay in processing appointments of Service Providers.</w:t>
            </w: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1A34EFDA" w14:textId="7195E1E7" w:rsidR="002E3B9C" w:rsidRDefault="00F7565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We believe the proposed change will have a longer term benefit in reducing MHHS exceptions when the programme goes live</w:t>
            </w:r>
            <w:r w:rsidR="00041C4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</w:t>
            </w:r>
          </w:p>
          <w:p w14:paraId="2942C1C2" w14:textId="77E13EBE" w:rsidR="00041C4A" w:rsidRPr="005B7D3A" w:rsidRDefault="00041C4A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It also </w:t>
            </w:r>
            <w:r w:rsidRPr="00041C4A">
              <w:rPr>
                <w:rFonts w:cstheme="minorHAnsi"/>
                <w:i/>
                <w:iCs/>
                <w:color w:val="041425" w:themeColor="text1"/>
                <w:szCs w:val="20"/>
              </w:rPr>
              <w:t>ensur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es</w:t>
            </w:r>
            <w:r w:rsidRPr="00041C4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substantial re-work is not required by suppliers agents and the registration service where process flows are delayed or outages cause disruption.</w:t>
            </w:r>
          </w:p>
          <w:p w14:paraId="2EC96E78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42FC1BE2" w14:textId="08B79DBA" w:rsidR="002E3B9C" w:rsidRPr="005B7D3A" w:rsidRDefault="00F7565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lastRenderedPageBreak/>
              <w:t>None</w:t>
            </w:r>
            <w:r w:rsidR="002E3B9C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4670260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39E4187B" w14:textId="268B6A99" w:rsidR="002E3B9C" w:rsidRPr="005B7D3A" w:rsidRDefault="00B15492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Risk is minimal this is a logical change in how the appointment event is evaluated.  Since the interim release 1 change was via DIN the risk cannot be significant.</w:t>
            </w:r>
          </w:p>
          <w:p w14:paraId="5B33AF6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6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lastRenderedPageBreak/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7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5"/>
      <w:headerReference w:type="first" r:id="rId16"/>
      <w:footerReference w:type="first" r:id="rId17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5CEA" w14:textId="77777777" w:rsidR="00264E1A" w:rsidRDefault="00264E1A" w:rsidP="007F1A2A">
      <w:pPr>
        <w:spacing w:after="0" w:line="240" w:lineRule="auto"/>
      </w:pPr>
      <w:r>
        <w:separator/>
      </w:r>
    </w:p>
  </w:endnote>
  <w:endnote w:type="continuationSeparator" w:id="0">
    <w:p w14:paraId="2A70408A" w14:textId="77777777" w:rsidR="00264E1A" w:rsidRDefault="00264E1A" w:rsidP="007F1A2A">
      <w:pPr>
        <w:spacing w:after="0" w:line="240" w:lineRule="auto"/>
      </w:pPr>
      <w:r>
        <w:continuationSeparator/>
      </w:r>
    </w:p>
  </w:endnote>
  <w:endnote w:type="continuationNotice" w:id="1">
    <w:p w14:paraId="61A42EF0" w14:textId="77777777" w:rsidR="00264E1A" w:rsidRDefault="00264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59DBD888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9B708B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D5BE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725972B2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9B708B">
      <w:rPr>
        <w:noProof/>
      </w:rPr>
      <w:t>2024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0639" w14:textId="77777777" w:rsidR="00264E1A" w:rsidRDefault="00264E1A" w:rsidP="007F1A2A">
      <w:pPr>
        <w:spacing w:after="0" w:line="240" w:lineRule="auto"/>
      </w:pPr>
      <w:r>
        <w:separator/>
      </w:r>
    </w:p>
  </w:footnote>
  <w:footnote w:type="continuationSeparator" w:id="0">
    <w:p w14:paraId="64C116BB" w14:textId="77777777" w:rsidR="00264E1A" w:rsidRDefault="00264E1A" w:rsidP="007F1A2A">
      <w:pPr>
        <w:spacing w:after="0" w:line="240" w:lineRule="auto"/>
      </w:pPr>
      <w:r>
        <w:continuationSeparator/>
      </w:r>
    </w:p>
  </w:footnote>
  <w:footnote w:type="continuationNotice" w:id="1">
    <w:p w14:paraId="213175D9" w14:textId="77777777" w:rsidR="00264E1A" w:rsidRDefault="00264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9945BB"/>
    <w:multiLevelType w:val="hybridMultilevel"/>
    <w:tmpl w:val="15969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5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0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77C2E9D"/>
    <w:multiLevelType w:val="hybridMultilevel"/>
    <w:tmpl w:val="BB983AFC"/>
    <w:lvl w:ilvl="0" w:tplc="A2A41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FE585E"/>
    <w:multiLevelType w:val="hybridMultilevel"/>
    <w:tmpl w:val="F9EEDBE2"/>
    <w:lvl w:ilvl="0" w:tplc="0E0A1A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8705">
    <w:abstractNumId w:val="2"/>
  </w:num>
  <w:num w:numId="2" w16cid:durableId="724723516">
    <w:abstractNumId w:val="0"/>
  </w:num>
  <w:num w:numId="3" w16cid:durableId="833758805">
    <w:abstractNumId w:val="9"/>
  </w:num>
  <w:num w:numId="4" w16cid:durableId="1400977024">
    <w:abstractNumId w:val="23"/>
  </w:num>
  <w:num w:numId="5" w16cid:durableId="316613592">
    <w:abstractNumId w:val="3"/>
  </w:num>
  <w:num w:numId="6" w16cid:durableId="1013411567">
    <w:abstractNumId w:val="14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62447202">
    <w:abstractNumId w:val="14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951325672">
    <w:abstractNumId w:val="8"/>
  </w:num>
  <w:num w:numId="9" w16cid:durableId="1735858750">
    <w:abstractNumId w:val="25"/>
  </w:num>
  <w:num w:numId="10" w16cid:durableId="1960143817">
    <w:abstractNumId w:val="19"/>
  </w:num>
  <w:num w:numId="11" w16cid:durableId="1445418775">
    <w:abstractNumId w:val="28"/>
  </w:num>
  <w:num w:numId="12" w16cid:durableId="1173691629">
    <w:abstractNumId w:val="17"/>
  </w:num>
  <w:num w:numId="13" w16cid:durableId="1408531643">
    <w:abstractNumId w:val="29"/>
  </w:num>
  <w:num w:numId="14" w16cid:durableId="1689717075">
    <w:abstractNumId w:val="6"/>
  </w:num>
  <w:num w:numId="15" w16cid:durableId="1765345746">
    <w:abstractNumId w:val="27"/>
  </w:num>
  <w:num w:numId="16" w16cid:durableId="1739861400">
    <w:abstractNumId w:val="24"/>
  </w:num>
  <w:num w:numId="17" w16cid:durableId="1362322889">
    <w:abstractNumId w:val="1"/>
  </w:num>
  <w:num w:numId="18" w16cid:durableId="566696032">
    <w:abstractNumId w:val="4"/>
  </w:num>
  <w:num w:numId="19" w16cid:durableId="1453282219">
    <w:abstractNumId w:val="22"/>
  </w:num>
  <w:num w:numId="20" w16cid:durableId="84496781">
    <w:abstractNumId w:val="18"/>
  </w:num>
  <w:num w:numId="21" w16cid:durableId="1290478798">
    <w:abstractNumId w:val="15"/>
  </w:num>
  <w:num w:numId="22" w16cid:durableId="608702015">
    <w:abstractNumId w:val="21"/>
  </w:num>
  <w:num w:numId="23" w16cid:durableId="833299150">
    <w:abstractNumId w:val="11"/>
  </w:num>
  <w:num w:numId="24" w16cid:durableId="1701055255">
    <w:abstractNumId w:val="5"/>
  </w:num>
  <w:num w:numId="25" w16cid:durableId="723874514">
    <w:abstractNumId w:val="7"/>
  </w:num>
  <w:num w:numId="26" w16cid:durableId="1140270382">
    <w:abstractNumId w:val="20"/>
  </w:num>
  <w:num w:numId="27" w16cid:durableId="2123456360">
    <w:abstractNumId w:val="12"/>
  </w:num>
  <w:num w:numId="28" w16cid:durableId="1851213370">
    <w:abstractNumId w:val="16"/>
  </w:num>
  <w:num w:numId="29" w16cid:durableId="1583025799">
    <w:abstractNumId w:val="10"/>
  </w:num>
  <w:num w:numId="30" w16cid:durableId="1211258655">
    <w:abstractNumId w:val="13"/>
  </w:num>
  <w:num w:numId="31" w16cid:durableId="688871589">
    <w:abstractNumId w:val="30"/>
  </w:num>
  <w:num w:numId="32" w16cid:durableId="122771754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22FD6"/>
    <w:rsid w:val="00023494"/>
    <w:rsid w:val="00034C99"/>
    <w:rsid w:val="00041C4A"/>
    <w:rsid w:val="000425BF"/>
    <w:rsid w:val="00047328"/>
    <w:rsid w:val="00047638"/>
    <w:rsid w:val="000534B2"/>
    <w:rsid w:val="00053807"/>
    <w:rsid w:val="00053B5E"/>
    <w:rsid w:val="000551C9"/>
    <w:rsid w:val="00063D04"/>
    <w:rsid w:val="000644AE"/>
    <w:rsid w:val="00072379"/>
    <w:rsid w:val="000743E0"/>
    <w:rsid w:val="00076C3A"/>
    <w:rsid w:val="0007720E"/>
    <w:rsid w:val="000811DF"/>
    <w:rsid w:val="00084A59"/>
    <w:rsid w:val="00084CE9"/>
    <w:rsid w:val="00085201"/>
    <w:rsid w:val="000867CF"/>
    <w:rsid w:val="00087F09"/>
    <w:rsid w:val="00090194"/>
    <w:rsid w:val="000936DD"/>
    <w:rsid w:val="000958B7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26C6"/>
    <w:rsid w:val="000D3B8B"/>
    <w:rsid w:val="000D4A6C"/>
    <w:rsid w:val="000D6539"/>
    <w:rsid w:val="000D7E48"/>
    <w:rsid w:val="000E0749"/>
    <w:rsid w:val="000E304F"/>
    <w:rsid w:val="000E45B7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10C8B"/>
    <w:rsid w:val="00121907"/>
    <w:rsid w:val="00124C9C"/>
    <w:rsid w:val="001258AA"/>
    <w:rsid w:val="00125FA2"/>
    <w:rsid w:val="0013406A"/>
    <w:rsid w:val="00136310"/>
    <w:rsid w:val="00143EC4"/>
    <w:rsid w:val="00145996"/>
    <w:rsid w:val="00147920"/>
    <w:rsid w:val="00147E8F"/>
    <w:rsid w:val="00151F9B"/>
    <w:rsid w:val="00153100"/>
    <w:rsid w:val="0015587F"/>
    <w:rsid w:val="00160B03"/>
    <w:rsid w:val="00161DFF"/>
    <w:rsid w:val="00162CC1"/>
    <w:rsid w:val="00163C4B"/>
    <w:rsid w:val="00171AB1"/>
    <w:rsid w:val="00172D59"/>
    <w:rsid w:val="00175E89"/>
    <w:rsid w:val="00182554"/>
    <w:rsid w:val="001837E4"/>
    <w:rsid w:val="00183CBB"/>
    <w:rsid w:val="00183DCE"/>
    <w:rsid w:val="0018471A"/>
    <w:rsid w:val="00191168"/>
    <w:rsid w:val="001932DD"/>
    <w:rsid w:val="001944E7"/>
    <w:rsid w:val="00196297"/>
    <w:rsid w:val="00196698"/>
    <w:rsid w:val="001A018B"/>
    <w:rsid w:val="001A7E27"/>
    <w:rsid w:val="001B2B74"/>
    <w:rsid w:val="001B3F5C"/>
    <w:rsid w:val="001C43A1"/>
    <w:rsid w:val="001C5F8C"/>
    <w:rsid w:val="001D43CB"/>
    <w:rsid w:val="001D58BD"/>
    <w:rsid w:val="001E03F6"/>
    <w:rsid w:val="001E1FDA"/>
    <w:rsid w:val="001E54CB"/>
    <w:rsid w:val="001E621D"/>
    <w:rsid w:val="001F0244"/>
    <w:rsid w:val="001F1487"/>
    <w:rsid w:val="001F36D9"/>
    <w:rsid w:val="001F395E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0D0B"/>
    <w:rsid w:val="00233090"/>
    <w:rsid w:val="002346F2"/>
    <w:rsid w:val="002351F0"/>
    <w:rsid w:val="00247A1C"/>
    <w:rsid w:val="00250039"/>
    <w:rsid w:val="00260CDE"/>
    <w:rsid w:val="002626FA"/>
    <w:rsid w:val="00264E1A"/>
    <w:rsid w:val="00265B8B"/>
    <w:rsid w:val="0026756E"/>
    <w:rsid w:val="00270347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9E7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32F3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45661"/>
    <w:rsid w:val="0035150D"/>
    <w:rsid w:val="003546D9"/>
    <w:rsid w:val="00354C8E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D81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0CA0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509C9"/>
    <w:rsid w:val="004515FB"/>
    <w:rsid w:val="00452A2A"/>
    <w:rsid w:val="00456B64"/>
    <w:rsid w:val="00464E40"/>
    <w:rsid w:val="004704FF"/>
    <w:rsid w:val="00472BC4"/>
    <w:rsid w:val="00485627"/>
    <w:rsid w:val="00486624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3550"/>
    <w:rsid w:val="004E39D8"/>
    <w:rsid w:val="004E5557"/>
    <w:rsid w:val="004F46F4"/>
    <w:rsid w:val="004F5759"/>
    <w:rsid w:val="004F734A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5F9F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E3C"/>
    <w:rsid w:val="00552E50"/>
    <w:rsid w:val="00553C2E"/>
    <w:rsid w:val="00554593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1B61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0EB9"/>
    <w:rsid w:val="00672D21"/>
    <w:rsid w:val="00674D12"/>
    <w:rsid w:val="006A1E3B"/>
    <w:rsid w:val="006A2878"/>
    <w:rsid w:val="006A357D"/>
    <w:rsid w:val="006A4877"/>
    <w:rsid w:val="006A57DC"/>
    <w:rsid w:val="006A67F0"/>
    <w:rsid w:val="006A77BD"/>
    <w:rsid w:val="006A7991"/>
    <w:rsid w:val="006B1803"/>
    <w:rsid w:val="006B2906"/>
    <w:rsid w:val="006B4454"/>
    <w:rsid w:val="006C00B4"/>
    <w:rsid w:val="006C0A41"/>
    <w:rsid w:val="006C0A75"/>
    <w:rsid w:val="006C5E01"/>
    <w:rsid w:val="006D740E"/>
    <w:rsid w:val="006E1201"/>
    <w:rsid w:val="006F0122"/>
    <w:rsid w:val="006F1087"/>
    <w:rsid w:val="006F7595"/>
    <w:rsid w:val="006F799F"/>
    <w:rsid w:val="00706626"/>
    <w:rsid w:val="00706920"/>
    <w:rsid w:val="0071020E"/>
    <w:rsid w:val="00714879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53F6"/>
    <w:rsid w:val="007461AD"/>
    <w:rsid w:val="0074756E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425"/>
    <w:rsid w:val="007A4794"/>
    <w:rsid w:val="007B21B5"/>
    <w:rsid w:val="007B47B6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E5AA6"/>
    <w:rsid w:val="007F1A2A"/>
    <w:rsid w:val="00800DEE"/>
    <w:rsid w:val="00802929"/>
    <w:rsid w:val="00803A0E"/>
    <w:rsid w:val="0080680C"/>
    <w:rsid w:val="008075A8"/>
    <w:rsid w:val="008117C8"/>
    <w:rsid w:val="00812DCF"/>
    <w:rsid w:val="008222C3"/>
    <w:rsid w:val="00824F87"/>
    <w:rsid w:val="00827706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191"/>
    <w:rsid w:val="00861AA9"/>
    <w:rsid w:val="00863415"/>
    <w:rsid w:val="008634DA"/>
    <w:rsid w:val="008645D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97D5C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07AC"/>
    <w:rsid w:val="00924F48"/>
    <w:rsid w:val="00924FC6"/>
    <w:rsid w:val="00925D57"/>
    <w:rsid w:val="00932214"/>
    <w:rsid w:val="00933D57"/>
    <w:rsid w:val="0093434A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670BB"/>
    <w:rsid w:val="00967F17"/>
    <w:rsid w:val="00977766"/>
    <w:rsid w:val="009806B6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B708B"/>
    <w:rsid w:val="009C26A8"/>
    <w:rsid w:val="009C2B77"/>
    <w:rsid w:val="009C46F5"/>
    <w:rsid w:val="009C7889"/>
    <w:rsid w:val="009D1D53"/>
    <w:rsid w:val="009D5B37"/>
    <w:rsid w:val="009D7335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540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6122"/>
    <w:rsid w:val="00A31446"/>
    <w:rsid w:val="00A32515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0274"/>
    <w:rsid w:val="00B1043F"/>
    <w:rsid w:val="00B14091"/>
    <w:rsid w:val="00B142DB"/>
    <w:rsid w:val="00B14826"/>
    <w:rsid w:val="00B15492"/>
    <w:rsid w:val="00B20F2E"/>
    <w:rsid w:val="00B33F02"/>
    <w:rsid w:val="00B35467"/>
    <w:rsid w:val="00B437F5"/>
    <w:rsid w:val="00B5112E"/>
    <w:rsid w:val="00B5291F"/>
    <w:rsid w:val="00B534FD"/>
    <w:rsid w:val="00B53712"/>
    <w:rsid w:val="00B53B94"/>
    <w:rsid w:val="00B545DF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4EE8"/>
    <w:rsid w:val="00BB51C7"/>
    <w:rsid w:val="00BB5A03"/>
    <w:rsid w:val="00BC030A"/>
    <w:rsid w:val="00BC37B1"/>
    <w:rsid w:val="00BC6F33"/>
    <w:rsid w:val="00BD452B"/>
    <w:rsid w:val="00BD643B"/>
    <w:rsid w:val="00BE34A8"/>
    <w:rsid w:val="00BE35A0"/>
    <w:rsid w:val="00BE4470"/>
    <w:rsid w:val="00BF0CDE"/>
    <w:rsid w:val="00BF3777"/>
    <w:rsid w:val="00BF721F"/>
    <w:rsid w:val="00C05C6B"/>
    <w:rsid w:val="00C07B56"/>
    <w:rsid w:val="00C100EA"/>
    <w:rsid w:val="00C12829"/>
    <w:rsid w:val="00C156B6"/>
    <w:rsid w:val="00C16E52"/>
    <w:rsid w:val="00C219B9"/>
    <w:rsid w:val="00C21B6F"/>
    <w:rsid w:val="00C2261D"/>
    <w:rsid w:val="00C22ED1"/>
    <w:rsid w:val="00C2460B"/>
    <w:rsid w:val="00C25EFB"/>
    <w:rsid w:val="00C2729F"/>
    <w:rsid w:val="00C2751B"/>
    <w:rsid w:val="00C31012"/>
    <w:rsid w:val="00C32F6C"/>
    <w:rsid w:val="00C330C3"/>
    <w:rsid w:val="00C335DA"/>
    <w:rsid w:val="00C34482"/>
    <w:rsid w:val="00C4169B"/>
    <w:rsid w:val="00C42087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48B8"/>
    <w:rsid w:val="00C77EA1"/>
    <w:rsid w:val="00C8188B"/>
    <w:rsid w:val="00C82CFF"/>
    <w:rsid w:val="00C85012"/>
    <w:rsid w:val="00C97BC7"/>
    <w:rsid w:val="00CA0953"/>
    <w:rsid w:val="00CA6B99"/>
    <w:rsid w:val="00CA77C4"/>
    <w:rsid w:val="00CA7A1F"/>
    <w:rsid w:val="00CB0714"/>
    <w:rsid w:val="00CB10DF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0D5C"/>
    <w:rsid w:val="00D31E0A"/>
    <w:rsid w:val="00D33340"/>
    <w:rsid w:val="00D33A3C"/>
    <w:rsid w:val="00D4141A"/>
    <w:rsid w:val="00D445C3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2107"/>
    <w:rsid w:val="00D87C80"/>
    <w:rsid w:val="00D94CB0"/>
    <w:rsid w:val="00D95508"/>
    <w:rsid w:val="00D95C8E"/>
    <w:rsid w:val="00D96220"/>
    <w:rsid w:val="00DA7370"/>
    <w:rsid w:val="00DA7C63"/>
    <w:rsid w:val="00DA7DFB"/>
    <w:rsid w:val="00DB454A"/>
    <w:rsid w:val="00DC0239"/>
    <w:rsid w:val="00DC598C"/>
    <w:rsid w:val="00DD0965"/>
    <w:rsid w:val="00DD0CF2"/>
    <w:rsid w:val="00DD57EC"/>
    <w:rsid w:val="00DD5E3A"/>
    <w:rsid w:val="00DD5E95"/>
    <w:rsid w:val="00DD5EC3"/>
    <w:rsid w:val="00DD6EBE"/>
    <w:rsid w:val="00DF1A93"/>
    <w:rsid w:val="00DF20B2"/>
    <w:rsid w:val="00DF238D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47E07"/>
    <w:rsid w:val="00E50124"/>
    <w:rsid w:val="00E5144C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44A"/>
    <w:rsid w:val="00E73FC2"/>
    <w:rsid w:val="00E757ED"/>
    <w:rsid w:val="00E85582"/>
    <w:rsid w:val="00E86758"/>
    <w:rsid w:val="00E86804"/>
    <w:rsid w:val="00E87FDF"/>
    <w:rsid w:val="00EA08AA"/>
    <w:rsid w:val="00EA4A67"/>
    <w:rsid w:val="00EA57A5"/>
    <w:rsid w:val="00EA6808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5777"/>
    <w:rsid w:val="00EE7E48"/>
    <w:rsid w:val="00EE7F53"/>
    <w:rsid w:val="00EF2AAE"/>
    <w:rsid w:val="00EF398E"/>
    <w:rsid w:val="00F027A4"/>
    <w:rsid w:val="00F10419"/>
    <w:rsid w:val="00F10595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7565C"/>
    <w:rsid w:val="00F84704"/>
    <w:rsid w:val="00F86912"/>
    <w:rsid w:val="00F86A0D"/>
    <w:rsid w:val="00F902D6"/>
    <w:rsid w:val="00F90BB1"/>
    <w:rsid w:val="00F91BA8"/>
    <w:rsid w:val="00F94CF8"/>
    <w:rsid w:val="00FA308D"/>
    <w:rsid w:val="00FA4E2F"/>
    <w:rsid w:val="00FA787B"/>
    <w:rsid w:val="00FB231B"/>
    <w:rsid w:val="00FC13B8"/>
    <w:rsid w:val="00FC1DCC"/>
    <w:rsid w:val="00FC277F"/>
    <w:rsid w:val="00FC3604"/>
    <w:rsid w:val="00FC7AAB"/>
    <w:rsid w:val="00FC7BF2"/>
    <w:rsid w:val="00FD5BE0"/>
    <w:rsid w:val="00FD7563"/>
    <w:rsid w:val="00FE2312"/>
    <w:rsid w:val="00FE290A"/>
    <w:rsid w:val="00FE3070"/>
    <w:rsid w:val="00FF29E7"/>
    <w:rsid w:val="00FF3408"/>
    <w:rsid w:val="00FF43EF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8634DA"/>
  </w:style>
  <w:style w:type="paragraph" w:styleId="Revision">
    <w:name w:val="Revision"/>
    <w:hidden/>
    <w:uiPriority w:val="99"/>
    <w:semiHidden/>
    <w:rsid w:val="00410CA0"/>
    <w:pPr>
      <w:spacing w:after="0" w:line="240" w:lineRule="auto"/>
    </w:pPr>
    <w:rPr>
      <w:sz w:val="20"/>
      <w:lang w:val="en-GB"/>
    </w:rPr>
  </w:style>
  <w:style w:type="character" w:customStyle="1" w:styleId="cf01">
    <w:name w:val="cf01"/>
    <w:basedOn w:val="DefaultParagraphFont"/>
    <w:rsid w:val="001847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cportal.co.uk/group/guest/-/clarify-strengthen-crs-providers-requirements?p_l_back_url=%2Fsearch%3Fq%3DCLARIFY%2BAND%2BSTRENGTHEN%2BCRS%2BPROVIDERS%25E2%2580%2599%2BREQUIRE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hsprogramme.sharepoint.com/:x:/r/sites/Market-wideHalfHourlySettlement/_layouts/15/Doc.aspx?sourcedoc=%7BD01B2249-2DB9-4EFF-A808-358CFE049554%7D&amp;file=MHHS%20DEL976%20Design%20Issue%20Notification%20Log%20(External)%20updated%20version.xlsx&amp;action=default&amp;mobileredirect=true&amp;DefaultItemOpen=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hsprogramme.sharepoint.com/:x:/r/sites/Market-wideHalfHourlySettlement/_layouts/15/Doc.aspx?sourcedoc=%7BD01B2249-2DB9-4EFF-A808-358CFE049554%7D&amp;file=MHHS%20DEL976%20Design%20Issue%20Notification%20Log%20(External)%20updated%20version.xlsx&amp;action=default&amp;mobileredirect=true&amp;DefaultItemOpen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portal.co.uk/group/guest/-/clarify-strengthen-crs-providers-requirements?p_l_back_url=%2Fsearch%3Fq%3DCLARIFY%2BAND%2BSTRENGTHEN%2BCRS%2BPROVIDERS%25E2%2580%2599%2BREQUIREMEN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On Hold Change Requests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MHHS-DEL2973</Doc_x0020_Number>
    <CR xmlns="c712b3fb-dfa4-408d-ba67-c014ff684e9a">CR045</CR>
    <Short_x0020_Name xmlns="336dc6f7-e858-42a6-bc18-5509d747a3d8">OHCR005 - Validation of Service Provider CoS Appointment</Short_x0020_Name>
    <Word_x0020_Doc_x0020__x002d__x0020_Temp xmlns="c712b3fb-dfa4-408d-ba67-c014ff684e9a">true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Impact Assessment</Sub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4c8a978-7ee3-4c71-ac61-194b07e1fe43"/>
    <ds:schemaRef ds:uri="0833cea9-7586-47e4-b9b4-5c9a5e1d1f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A3EC12F-14E7-4D55-8E6E-A8C62C1386CB}"/>
</file>

<file path=docMetadata/LabelInfo.xml><?xml version="1.0" encoding="utf-8"?>
<clbl:labelList xmlns:clbl="http://schemas.microsoft.com/office/2020/mipLabelMetadata">
  <clbl:label id="{065f1a46-1149-4b07-97f4-ee5ba49b485b}" enabled="1" method="Standard" siteId="{a603898f-7de2-45ba-b67d-d35fb519b2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24142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2</cp:revision>
  <dcterms:created xsi:type="dcterms:W3CDTF">2024-08-07T10:38:00Z</dcterms:created>
  <dcterms:modified xsi:type="dcterms:W3CDTF">2024-08-07T10:38:00Z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